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C63" w:rsidRPr="00F03F13" w:rsidRDefault="00986C63" w:rsidP="00986C63">
      <w:pPr>
        <w:rPr>
          <w:b/>
        </w:rPr>
      </w:pPr>
      <w:r>
        <w:rPr>
          <w:b/>
        </w:rPr>
        <w:t>Cas pratique en droit des marques</w:t>
      </w:r>
      <w:bookmarkStart w:id="0" w:name="_GoBack"/>
      <w:bookmarkEnd w:id="0"/>
    </w:p>
    <w:p w:rsidR="00986C63" w:rsidRDefault="00986C63" w:rsidP="00986C63"/>
    <w:p w:rsidR="00986C63" w:rsidRDefault="00986C63" w:rsidP="00986C63">
      <w:pPr>
        <w:pStyle w:val="AAAAAAA"/>
      </w:pPr>
      <w:r>
        <w:t xml:space="preserve">La société </w:t>
      </w:r>
      <w:proofErr w:type="spellStart"/>
      <w:r>
        <w:t>Cartax</w:t>
      </w:r>
      <w:proofErr w:type="spellEnd"/>
      <w:r>
        <w:t xml:space="preserve"> propose en ligne des services d’impressions de cartes de toutes sortes (vœux, remerciement, </w:t>
      </w:r>
      <w:proofErr w:type="gramStart"/>
      <w:r>
        <w:t>félicitations…)</w:t>
      </w:r>
      <w:proofErr w:type="gramEnd"/>
      <w:r>
        <w:t xml:space="preserve">. Elle a enregistré auprès de l’INPI le 20 juin 2007 le signe verbal « CARTACHOUETTE » pour désigner des produits de la classe 16 et notamment des « produits de l’imprimerie ; articles pour reliures ; photographies ; articles de papeterie ». La société </w:t>
      </w:r>
      <w:proofErr w:type="spellStart"/>
      <w:r>
        <w:t>Cartax</w:t>
      </w:r>
      <w:proofErr w:type="spellEnd"/>
      <w:r>
        <w:t xml:space="preserve"> rencontre un succès important. Ses concurrents observent avec envie le développement de son activité et tentent de profiter de la réussite de la société </w:t>
      </w:r>
      <w:proofErr w:type="spellStart"/>
      <w:r>
        <w:t>Cartax</w:t>
      </w:r>
      <w:proofErr w:type="spellEnd"/>
      <w:r>
        <w:t xml:space="preserve">. La société Cartoon a réservé auprès du service Google </w:t>
      </w:r>
      <w:proofErr w:type="spellStart"/>
      <w:r>
        <w:t>Adwords</w:t>
      </w:r>
      <w:proofErr w:type="spellEnd"/>
      <w:r>
        <w:t xml:space="preserve"> le mot-clé « </w:t>
      </w:r>
      <w:proofErr w:type="spellStart"/>
      <w:r>
        <w:t>Cartachouette</w:t>
      </w:r>
      <w:proofErr w:type="spellEnd"/>
      <w:r>
        <w:t> ». Ainsi, lorsqu’un internaute effectue une recherche à partir de ce mot-clé, l’annonce suivante apparaît en première position des liens commerciaux :</w:t>
      </w:r>
    </w:p>
    <w:p w:rsidR="00986C63" w:rsidRPr="00C70348" w:rsidRDefault="00986C63" w:rsidP="00986C63">
      <w:pPr>
        <w:ind w:left="2268"/>
        <w:rPr>
          <w:rFonts w:ascii="Times New Roman" w:hAnsi="Times New Roman" w:cs="Times New Roman"/>
          <w:b/>
          <w:i/>
          <w:sz w:val="24"/>
          <w:szCs w:val="24"/>
        </w:rPr>
      </w:pPr>
      <w:r w:rsidRPr="00C70348">
        <w:rPr>
          <w:rFonts w:ascii="Times New Roman" w:hAnsi="Times New Roman" w:cs="Times New Roman"/>
          <w:b/>
          <w:i/>
          <w:sz w:val="24"/>
          <w:szCs w:val="24"/>
        </w:rPr>
        <w:t>Cartoon, votre site chouette de cartes en lignes</w:t>
      </w:r>
    </w:p>
    <w:p w:rsidR="00986C63" w:rsidRPr="00C70348" w:rsidRDefault="00986C63" w:rsidP="00986C63">
      <w:pPr>
        <w:ind w:left="2268"/>
        <w:rPr>
          <w:rFonts w:ascii="Times New Roman" w:hAnsi="Times New Roman" w:cs="Times New Roman"/>
          <w:i/>
          <w:sz w:val="24"/>
          <w:szCs w:val="24"/>
        </w:rPr>
      </w:pPr>
      <w:r w:rsidRPr="00C70348">
        <w:rPr>
          <w:rFonts w:ascii="Times New Roman" w:hAnsi="Times New Roman" w:cs="Times New Roman"/>
          <w:i/>
          <w:sz w:val="24"/>
          <w:szCs w:val="24"/>
        </w:rPr>
        <w:t>Annonce. Cartoon.fr</w:t>
      </w:r>
    </w:p>
    <w:p w:rsidR="00986C63" w:rsidRPr="00C70348" w:rsidRDefault="00986C63" w:rsidP="00986C63">
      <w:pPr>
        <w:ind w:left="2268"/>
        <w:rPr>
          <w:rFonts w:ascii="Times New Roman" w:hAnsi="Times New Roman" w:cs="Times New Roman"/>
          <w:i/>
          <w:sz w:val="24"/>
          <w:szCs w:val="24"/>
        </w:rPr>
      </w:pPr>
      <w:r w:rsidRPr="00C70348">
        <w:rPr>
          <w:rFonts w:ascii="Times New Roman" w:hAnsi="Times New Roman" w:cs="Times New Roman"/>
          <w:i/>
          <w:sz w:val="24"/>
          <w:szCs w:val="24"/>
        </w:rPr>
        <w:t>De nombreuses cartes chouettes à adresser en ligne</w:t>
      </w:r>
    </w:p>
    <w:p w:rsidR="00986C63" w:rsidRPr="00C70348" w:rsidRDefault="00986C63" w:rsidP="00986C63">
      <w:pPr>
        <w:ind w:left="2268"/>
        <w:rPr>
          <w:rFonts w:ascii="Times New Roman" w:hAnsi="Times New Roman" w:cs="Times New Roman"/>
          <w:sz w:val="24"/>
          <w:szCs w:val="24"/>
        </w:rPr>
      </w:pPr>
      <w:r w:rsidRPr="00C70348">
        <w:rPr>
          <w:rFonts w:ascii="Times New Roman" w:hAnsi="Times New Roman" w:cs="Times New Roman"/>
          <w:i/>
          <w:sz w:val="24"/>
          <w:szCs w:val="24"/>
        </w:rPr>
        <w:t>Vœux, remerciements, mariage, naissance…</w:t>
      </w:r>
    </w:p>
    <w:p w:rsidR="00986C63" w:rsidRDefault="00986C63" w:rsidP="00986C63">
      <w:pPr>
        <w:pStyle w:val="AAAAAAA"/>
      </w:pPr>
      <w:r>
        <w:t xml:space="preserve">Conseillez la société </w:t>
      </w:r>
      <w:proofErr w:type="spellStart"/>
      <w:r>
        <w:t>Cartax</w:t>
      </w:r>
      <w:proofErr w:type="spellEnd"/>
      <w:r>
        <w:t xml:space="preserve"> sur les actions qu’il peut intenter à l’encontre du service de référencement Google et de la société Cartoon. Indiquez leurs chances de succès.</w:t>
      </w:r>
    </w:p>
    <w:p w:rsidR="00986C63" w:rsidRPr="0023032C" w:rsidRDefault="00986C63" w:rsidP="00986C63">
      <w:pPr>
        <w:pStyle w:val="AAAAAAA"/>
        <w:ind w:firstLine="0"/>
        <w:rPr>
          <w:b/>
        </w:rPr>
      </w:pPr>
      <w:r>
        <w:rPr>
          <w:b/>
        </w:rPr>
        <w:t>C</w:t>
      </w:r>
      <w:r w:rsidRPr="0023032C">
        <w:rPr>
          <w:b/>
        </w:rPr>
        <w:t>orrigé</w:t>
      </w:r>
    </w:p>
    <w:p w:rsidR="00986C63" w:rsidRDefault="00986C63" w:rsidP="00986C63">
      <w:pPr>
        <w:pStyle w:val="AAAAAAA"/>
      </w:pPr>
      <w:r>
        <w:t xml:space="preserve">La réservation de marques protégées à titre de mots-clés auprès d’un service de référencement fait l’objet d’un contentieux nourri depuis une dizaine d’années à l’encontre du service de référencement (autrement dénommé moteur de recherche) et/ou de l’annonceur. La pratique consiste pour un annonceur à réserver à titre onéreux la marque verbale d’un concurrent pour faire en sorte que son annonce apparaisse en tête des résultats lorsqu’une recherche est lancée à partir de ce mot-clé. </w:t>
      </w:r>
    </w:p>
    <w:p w:rsidR="00986C63" w:rsidRDefault="00986C63" w:rsidP="00986C63">
      <w:pPr>
        <w:pStyle w:val="AAAAAAA"/>
      </w:pPr>
      <w:r>
        <w:t xml:space="preserve">En l’espèce, la Sarl </w:t>
      </w:r>
      <w:proofErr w:type="spellStart"/>
      <w:r>
        <w:t>Cartax</w:t>
      </w:r>
      <w:proofErr w:type="spellEnd"/>
      <w:r>
        <w:t xml:space="preserve"> est titulaire de la marque verbale « CARTACHOUETTE », que l’on supposera valable. Le service Google </w:t>
      </w:r>
      <w:proofErr w:type="spellStart"/>
      <w:r>
        <w:t>Adwords</w:t>
      </w:r>
      <w:proofErr w:type="spellEnd"/>
      <w:r>
        <w:t>, en tant que service de référencement, a proposé la réservation du mot-clé « </w:t>
      </w:r>
      <w:proofErr w:type="spellStart"/>
      <w:r>
        <w:t>Cartachouette</w:t>
      </w:r>
      <w:proofErr w:type="spellEnd"/>
      <w:r>
        <w:t xml:space="preserve"> ». La société Cartoon est l’annonceur qui a réservé le mot-clé pour que son annonce apparaisse en première position lors d’une recherche sur ce mot. </w:t>
      </w:r>
    </w:p>
    <w:p w:rsidR="00986C63" w:rsidRDefault="00986C63" w:rsidP="00986C63">
      <w:pPr>
        <w:pStyle w:val="AAAAAAA"/>
      </w:pPr>
      <w:r>
        <w:lastRenderedPageBreak/>
        <w:t xml:space="preserve">La société </w:t>
      </w:r>
      <w:proofErr w:type="spellStart"/>
      <w:r>
        <w:t>Cartax</w:t>
      </w:r>
      <w:proofErr w:type="spellEnd"/>
      <w:r>
        <w:t xml:space="preserve"> peut envisager deux actions. Une première action à l’encontre du service de référencement a peu de chance d’aboutir (I). Une seconde action à l’encontre de l’annonceur pourrait prospérer (II).</w:t>
      </w:r>
    </w:p>
    <w:p w:rsidR="00986C63" w:rsidRPr="009F72B3" w:rsidRDefault="00986C63" w:rsidP="00986C63">
      <w:pPr>
        <w:pStyle w:val="Titre2"/>
        <w:numPr>
          <w:ilvl w:val="0"/>
          <w:numId w:val="2"/>
        </w:numPr>
      </w:pPr>
      <w:r w:rsidRPr="009F72B3">
        <w:t>L</w:t>
      </w:r>
      <w:r>
        <w:t>’</w:t>
      </w:r>
      <w:r w:rsidRPr="009F72B3">
        <w:t>absence de responsabilité du service de référencement</w:t>
      </w:r>
    </w:p>
    <w:p w:rsidR="00986C63" w:rsidRDefault="00986C63" w:rsidP="00986C63">
      <w:pPr>
        <w:pStyle w:val="AAAAAAA"/>
      </w:pPr>
      <w:r>
        <w:t>La nature de la responsabilité du service de référencement dépend de la qualification de celui-ci en application de la directive n° 2000/31/CE, dite « commerce électronique », transposée par la loi pour la confiance dans l’économie numérique du 21 juin 2004. En vertu de l’article 6, I-2 de la loi, les fournisseurs d’accès à internet et les hébergeurs « ne peuvent pas voir leur responsabilité civile engagée du fait des activités ou des informations stockées à la demande d’un destinataire de ces services si elles n’avaient pas effectivement connaissance de leur caractère illicite ou de faits et circonstances faisant apparaître ce caractère ou si, dès le moment où elles en ont eu cette connaissance, elles ont agi promptement pour retirer ces données ou en rendre l’accès impossible ». Les autres acteurs, qualifiés d’éditeurs de service, se voient appliquer la responsabilité de droit commun. Depuis une célèbre décision Google du 23 mars 2010, rendue par la CJUE, un service de référencement est qualifié d’hébergeur lorsque son rôle est « </w:t>
      </w:r>
      <w:r w:rsidRPr="001331C6">
        <w:t>neutre, en ce que son comportement est purement technique, automatique et passif, impliquant l</w:t>
      </w:r>
      <w:r>
        <w:t>’</w:t>
      </w:r>
      <w:r w:rsidRPr="001331C6">
        <w:t>absence de connaissance ou de co</w:t>
      </w:r>
      <w:r>
        <w:t>ntrôle des données qu’il stocke »</w:t>
      </w:r>
      <w:r>
        <w:rPr>
          <w:rStyle w:val="Marquenotebasdepage"/>
        </w:rPr>
        <w:footnoteReference w:id="1"/>
      </w:r>
      <w:r>
        <w:t>. La Cour de cassation a depuis lors toujours censuré les décisions qui retiennent le rôle actif d’un prestataire de service de référencement</w:t>
      </w:r>
      <w:r>
        <w:rPr>
          <w:rStyle w:val="Marquenotebasdepage"/>
        </w:rPr>
        <w:footnoteReference w:id="2"/>
      </w:r>
      <w:r>
        <w:t xml:space="preserve">. En l’espèce, aucun élément ne montre le rôle actif du service Google </w:t>
      </w:r>
      <w:proofErr w:type="spellStart"/>
      <w:r>
        <w:t>Adwords</w:t>
      </w:r>
      <w:proofErr w:type="spellEnd"/>
      <w:r>
        <w:t>. Il faut donc retenir la qualification et le régime de responsabilité aménagée subséquente.</w:t>
      </w:r>
    </w:p>
    <w:p w:rsidR="00986C63" w:rsidRDefault="00986C63" w:rsidP="00986C63">
      <w:pPr>
        <w:pStyle w:val="AAAAAAA"/>
      </w:pPr>
      <w:r>
        <w:t>Le droit des marques n’est d’aucun secours pour favoriser les chances de succès à l’encontre du service de référencement. Rappelons qu’au regard du droit de l’Union européenne, « </w:t>
      </w:r>
      <w:r w:rsidRPr="00202841">
        <w:rPr>
          <w:i/>
        </w:rPr>
        <w:t xml:space="preserve">le titulaire </w:t>
      </w:r>
      <w:r w:rsidRPr="00A439D1">
        <w:t>[de la marque]</w:t>
      </w:r>
      <w:r>
        <w:rPr>
          <w:i/>
        </w:rPr>
        <w:t xml:space="preserve"> </w:t>
      </w:r>
      <w:r w:rsidRPr="00202841">
        <w:rPr>
          <w:i/>
        </w:rPr>
        <w:t>est habilité à interdire à tout tiers, en l</w:t>
      </w:r>
      <w:r>
        <w:t>’</w:t>
      </w:r>
      <w:r w:rsidRPr="00202841">
        <w:rPr>
          <w:i/>
        </w:rPr>
        <w:t xml:space="preserve">absence de son consentement, de faire usage </w:t>
      </w:r>
      <w:r>
        <w:t>[du signe]</w:t>
      </w:r>
      <w:r>
        <w:rPr>
          <w:i/>
        </w:rPr>
        <w:t xml:space="preserve"> </w:t>
      </w:r>
      <w:r w:rsidRPr="00202841">
        <w:rPr>
          <w:i/>
        </w:rPr>
        <w:t>dans la vie des affaires </w:t>
      </w:r>
      <w:r>
        <w:t>»</w:t>
      </w:r>
      <w:r>
        <w:rPr>
          <w:rStyle w:val="Marquenotebasdepage"/>
        </w:rPr>
        <w:footnoteReference w:id="3"/>
      </w:r>
      <w:r>
        <w:t xml:space="preserve">. La condition d’usage dans la vie des affaires est une condition préalable au succès d’une action en contrefaçon depuis la décision </w:t>
      </w:r>
      <w:r w:rsidRPr="006A00C1">
        <w:rPr>
          <w:i/>
        </w:rPr>
        <w:t>Arsenal</w:t>
      </w:r>
      <w:r>
        <w:t xml:space="preserve"> de 2002</w:t>
      </w:r>
      <w:r>
        <w:rPr>
          <w:rStyle w:val="Marquenotebasdepage"/>
        </w:rPr>
        <w:footnoteReference w:id="4"/>
      </w:r>
      <w:r>
        <w:t xml:space="preserve">. Or, la décision </w:t>
      </w:r>
      <w:r w:rsidRPr="00C90BDB">
        <w:rPr>
          <w:i/>
        </w:rPr>
        <w:t>Google</w:t>
      </w:r>
      <w:r>
        <w:t xml:space="preserve"> précitée, a énoncé, en matière de marques, que « </w:t>
      </w:r>
      <w:r w:rsidRPr="007A3936">
        <w:t>le prestataire d</w:t>
      </w:r>
      <w:r>
        <w:t>’</w:t>
      </w:r>
      <w:r w:rsidRPr="007A3936">
        <w:t>un service de référencement sur internet, qui stocke en tant que mot-clé un signe identique à une marque et organise l</w:t>
      </w:r>
      <w:r>
        <w:t>’</w:t>
      </w:r>
      <w:r w:rsidRPr="007A3936">
        <w:t>affichage d</w:t>
      </w:r>
      <w:r>
        <w:t>’</w:t>
      </w:r>
      <w:r w:rsidRPr="007A3936">
        <w:t xml:space="preserve">annonces à partir de celui-ci, ne fait pas un usage de ce signe </w:t>
      </w:r>
      <w:r>
        <w:t>(…) »</w:t>
      </w:r>
      <w:r>
        <w:rPr>
          <w:rStyle w:val="Marquenotebasdepage"/>
        </w:rPr>
        <w:footnoteReference w:id="5"/>
      </w:r>
      <w:r>
        <w:t xml:space="preserve">. Il en résulte qu’en l’absence d’usage du signe par le prestataire de service de référencement pour désigner des produits ou des services, le droit sur la marque n’est pas atteint. En l’espèce, le service Google </w:t>
      </w:r>
      <w:proofErr w:type="spellStart"/>
      <w:r>
        <w:t>Adwords</w:t>
      </w:r>
      <w:proofErr w:type="spellEnd"/>
      <w:r>
        <w:t xml:space="preserve"> ne réalise aucun usage dans la vie des affaires. La société </w:t>
      </w:r>
      <w:proofErr w:type="spellStart"/>
      <w:r>
        <w:t>Cartax</w:t>
      </w:r>
      <w:proofErr w:type="spellEnd"/>
      <w:r>
        <w:t xml:space="preserve"> est démunie à l’égard des agissements du service de référencement. </w:t>
      </w:r>
    </w:p>
    <w:p w:rsidR="00986C63" w:rsidRPr="009F72B3" w:rsidRDefault="00986C63" w:rsidP="00986C63">
      <w:pPr>
        <w:pStyle w:val="Titre2"/>
      </w:pPr>
      <w:r w:rsidRPr="009F72B3">
        <w:t>La responsabilité en question de l</w:t>
      </w:r>
      <w:r>
        <w:t>’</w:t>
      </w:r>
      <w:r w:rsidRPr="009F72B3">
        <w:t>annonceur</w:t>
      </w:r>
    </w:p>
    <w:p w:rsidR="00986C63" w:rsidRDefault="00986C63" w:rsidP="00986C63">
      <w:pPr>
        <w:pStyle w:val="AAAAAAA"/>
      </w:pPr>
      <w:r>
        <w:t xml:space="preserve">Tous les espoirs reposent sur une action à l’encontre de l’annonceur, la société Cartoon. La même condition d’usage du signe dans la vie des affaires doit être remplie à son égard. Or, dans la même décision </w:t>
      </w:r>
      <w:r w:rsidRPr="00F23B02">
        <w:t>Google</w:t>
      </w:r>
      <w:r>
        <w:t>, la Cour de justice a énoncé que, à la différence du prestataire de service de référencement, l’annonceur effectue un usage du signe pour ces produits ou services</w:t>
      </w:r>
      <w:r>
        <w:rPr>
          <w:rStyle w:val="Marquenotebasdepage"/>
        </w:rPr>
        <w:footnoteReference w:id="6"/>
      </w:r>
      <w:r>
        <w:t>. Les juges de l’Union ont alors précisé que l’atteinte à la marque était caractérisée lorsque l’annonce « </w:t>
      </w:r>
      <w:r w:rsidRPr="004D2529">
        <w:t>ne permet pas ou permet seulement difficilement à l</w:t>
      </w:r>
      <w:r>
        <w:t>’</w:t>
      </w:r>
      <w:r w:rsidRPr="004D2529">
        <w:t>internaute moyen de savoir si les produits ou les services visés par l</w:t>
      </w:r>
      <w:r>
        <w:t>’</w:t>
      </w:r>
      <w:r w:rsidRPr="004D2529">
        <w:t>annonce proviennent du titulaire de la marque ou d</w:t>
      </w:r>
      <w:r>
        <w:t>’</w:t>
      </w:r>
      <w:r w:rsidRPr="004D2529">
        <w:t>une entreprise économiquement liée à celui-ci ou, au contraire, d</w:t>
      </w:r>
      <w:r>
        <w:t>’</w:t>
      </w:r>
      <w:r w:rsidRPr="004D2529">
        <w:t>un tiers</w:t>
      </w:r>
      <w:r>
        <w:t> »</w:t>
      </w:r>
      <w:r>
        <w:rPr>
          <w:rStyle w:val="Marquenotebasdepage"/>
        </w:rPr>
        <w:footnoteReference w:id="7"/>
      </w:r>
      <w:r w:rsidRPr="004D2529">
        <w:t>.</w:t>
      </w:r>
      <w:r>
        <w:t xml:space="preserve"> Il s’agit alors de déterminer si l’annonce porte atteinte aux fonctions de la marque : la fonction essentielle de garantie d’identité d’origine, mais aussi les fonctions accessoires consistant </w:t>
      </w:r>
      <w:r w:rsidRPr="002464ED">
        <w:t>à garantir la qualité d</w:t>
      </w:r>
      <w:r>
        <w:t>’</w:t>
      </w:r>
      <w:r w:rsidRPr="002464ED">
        <w:t>un produit ou d</w:t>
      </w:r>
      <w:r>
        <w:t>’</w:t>
      </w:r>
      <w:r w:rsidRPr="002464ED">
        <w:t>un service et les efforts de communication, d</w:t>
      </w:r>
      <w:r>
        <w:t>’</w:t>
      </w:r>
      <w:r w:rsidRPr="002464ED">
        <w:t>investissement ou de publici</w:t>
      </w:r>
      <w:r>
        <w:t>té</w:t>
      </w:r>
      <w:r>
        <w:rPr>
          <w:rStyle w:val="Marquenotebasdepage"/>
        </w:rPr>
        <w:footnoteReference w:id="8"/>
      </w:r>
      <w:r>
        <w:t>. Concrètement, il ressort de la jurisprudence de la Cour de cassation qu’aucune atteinte n’est constatée lorsque les annonces sont classées sous la rubrique « liens commerciaux », qu’elles s’affichent sur une colonne nettement séparée de celle qui reprend les résultats naturels et que les annonces ne comprennent aucun élément de rattachement avec la marque d’un tiers</w:t>
      </w:r>
      <w:r>
        <w:rPr>
          <w:rStyle w:val="Marquenotebasdepage"/>
        </w:rPr>
        <w:footnoteReference w:id="9"/>
      </w:r>
      <w:r>
        <w:t xml:space="preserve">. </w:t>
      </w:r>
    </w:p>
    <w:p w:rsidR="00986C63" w:rsidRDefault="00986C63" w:rsidP="00986C63">
      <w:pPr>
        <w:pStyle w:val="AAAAAAA"/>
      </w:pPr>
      <w:r>
        <w:t xml:space="preserve">En l’espèce, plusieurs éléments factuels tendent à écarter la contrefaçon : l’annonce apparaît « en première position des liens commerciaux » ; la mention « annonce » est expressément reprise ; le nom de la société Cartoon est repris en première position dans le titre de l’annonce et le site cartoon.fr est visé dès la deuxième ligne de l’annonce. Toutefois, il est possible de relever des éléments de rattachement avec la marque « CARTACHOUETTE » appartenant à la société </w:t>
      </w:r>
      <w:proofErr w:type="spellStart"/>
      <w:r>
        <w:t>Cartax</w:t>
      </w:r>
      <w:proofErr w:type="spellEnd"/>
      <w:r>
        <w:t>. Dans le titre de l’annonce est repris l’adjectif « chouette » associé au substantif « cartes » (« chouette de cartes) qui constitue une inversion de « CARTACHOUETTE ». De plus, à la première ligne de l’annonce est repris l’expression « cartes chouettes » qui ne diffère que de trois lettres et un espace de la marque « CARTACHOUETTE ». Or, l’adjectif « chouette » pour désigner des cartes nous semble fortement distinctif. Les deux occurrences dans l’annonce peuvent déterminer le juge à caractériser la contrefaçon.</w:t>
      </w:r>
    </w:p>
    <w:p w:rsidR="00A220AC" w:rsidRDefault="00986C63" w:rsidP="00986C63">
      <w:pPr>
        <w:pStyle w:val="AAAAAAA"/>
      </w:pPr>
      <w:r>
        <w:t>Notons à titre de conclusion que, en cas de rejet de l’action en contrefaçon, il conviendrait à titre subsidiaire d’intenter une action en concurrence déloyale en invoquant un risque de confusion entre les deux sociétés.</w:t>
      </w:r>
    </w:p>
    <w:sectPr w:rsidR="00A220AC" w:rsidSect="00A220A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C63" w:rsidRDefault="00986C63" w:rsidP="00986C63">
      <w:pPr>
        <w:spacing w:before="0" w:after="0" w:line="240" w:lineRule="auto"/>
      </w:pPr>
      <w:r>
        <w:separator/>
      </w:r>
    </w:p>
  </w:endnote>
  <w:endnote w:type="continuationSeparator" w:id="0">
    <w:p w:rsidR="00986C63" w:rsidRDefault="00986C63" w:rsidP="00986C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C63" w:rsidRDefault="00986C63" w:rsidP="00986C63">
      <w:pPr>
        <w:spacing w:before="0" w:after="0" w:line="240" w:lineRule="auto"/>
      </w:pPr>
      <w:r>
        <w:separator/>
      </w:r>
    </w:p>
  </w:footnote>
  <w:footnote w:type="continuationSeparator" w:id="0">
    <w:p w:rsidR="00986C63" w:rsidRDefault="00986C63" w:rsidP="00986C63">
      <w:pPr>
        <w:spacing w:before="0" w:after="0" w:line="240" w:lineRule="auto"/>
      </w:pPr>
      <w:r>
        <w:continuationSeparator/>
      </w:r>
    </w:p>
  </w:footnote>
  <w:footnote w:id="1">
    <w:p w:rsidR="00986C63" w:rsidRDefault="00986C63" w:rsidP="00986C63">
      <w:pPr>
        <w:pStyle w:val="NBP"/>
      </w:pPr>
      <w:r>
        <w:rPr>
          <w:rStyle w:val="Marquenotebasdepage"/>
        </w:rPr>
        <w:footnoteRef/>
      </w:r>
      <w:r>
        <w:t xml:space="preserve"> </w:t>
      </w:r>
      <w:r w:rsidRPr="002E6A6D">
        <w:t>CJUE</w:t>
      </w:r>
      <w:r>
        <w:t>,</w:t>
      </w:r>
      <w:r w:rsidRPr="002E6A6D">
        <w:t xml:space="preserve"> 23</w:t>
      </w:r>
      <w:r>
        <w:t xml:space="preserve"> mars 2010, C-236/08 à C-238/08, </w:t>
      </w:r>
      <w:r w:rsidRPr="00BC0386">
        <w:rPr>
          <w:i/>
        </w:rPr>
        <w:t>Google</w:t>
      </w:r>
      <w:r>
        <w:t>, pt. 114.</w:t>
      </w:r>
    </w:p>
  </w:footnote>
  <w:footnote w:id="2">
    <w:p w:rsidR="00986C63" w:rsidRDefault="00986C63" w:rsidP="00986C63">
      <w:pPr>
        <w:pStyle w:val="NBP"/>
      </w:pPr>
      <w:r>
        <w:rPr>
          <w:rStyle w:val="Marquenotebasdepage"/>
        </w:rPr>
        <w:footnoteRef/>
      </w:r>
      <w:r>
        <w:t xml:space="preserve"> Par exemple : </w:t>
      </w:r>
      <w:proofErr w:type="spellStart"/>
      <w:r>
        <w:rPr>
          <w:rFonts w:eastAsia="Arial Unicode MS"/>
        </w:rPr>
        <w:t>Cass</w:t>
      </w:r>
      <w:proofErr w:type="spellEnd"/>
      <w:r>
        <w:rPr>
          <w:rFonts w:eastAsia="Arial Unicode MS"/>
        </w:rPr>
        <w:t>. 1</w:t>
      </w:r>
      <w:r w:rsidRPr="00BC0386">
        <w:rPr>
          <w:rFonts w:eastAsia="Arial Unicode MS"/>
          <w:vertAlign w:val="superscript"/>
        </w:rPr>
        <w:t>ère</w:t>
      </w:r>
      <w:r>
        <w:rPr>
          <w:rFonts w:eastAsia="Arial Unicode MS"/>
        </w:rPr>
        <w:t xml:space="preserve"> </w:t>
      </w:r>
      <w:proofErr w:type="gramStart"/>
      <w:r>
        <w:rPr>
          <w:rFonts w:eastAsia="Arial Unicode MS"/>
        </w:rPr>
        <w:t>civ.,</w:t>
      </w:r>
      <w:proofErr w:type="gramEnd"/>
      <w:r w:rsidRPr="002E6A6D">
        <w:rPr>
          <w:rFonts w:eastAsia="Arial Unicode MS"/>
        </w:rPr>
        <w:t xml:space="preserve"> 12 juill. 2012, </w:t>
      </w:r>
      <w:r>
        <w:rPr>
          <w:rFonts w:eastAsia="Arial Unicode MS"/>
        </w:rPr>
        <w:t>n</w:t>
      </w:r>
      <w:r w:rsidRPr="00E07927">
        <w:rPr>
          <w:rFonts w:eastAsia="Arial Unicode MS"/>
          <w:vertAlign w:val="superscript"/>
        </w:rPr>
        <w:t>os</w:t>
      </w:r>
      <w:r>
        <w:rPr>
          <w:rFonts w:eastAsia="Arial Unicode MS"/>
        </w:rPr>
        <w:t xml:space="preserve"> </w:t>
      </w:r>
      <w:r w:rsidRPr="002E6A6D">
        <w:rPr>
          <w:rFonts w:eastAsia="Arial Unicode MS"/>
        </w:rPr>
        <w:t>1</w:t>
      </w:r>
      <w:r>
        <w:rPr>
          <w:rFonts w:eastAsia="Arial Unicode MS"/>
        </w:rPr>
        <w:t>1-15165 et 11-15-</w:t>
      </w:r>
      <w:r w:rsidRPr="00BC0386">
        <w:rPr>
          <w:rFonts w:eastAsia="Arial Unicode MS"/>
        </w:rPr>
        <w:t xml:space="preserve">188 : </w:t>
      </w:r>
      <w:r w:rsidRPr="001751F0">
        <w:rPr>
          <w:i/>
        </w:rPr>
        <w:t>Bull. civ.</w:t>
      </w:r>
      <w:r w:rsidRPr="001751F0">
        <w:t xml:space="preserve"> I, n° 162.</w:t>
      </w:r>
    </w:p>
  </w:footnote>
  <w:footnote w:id="3">
    <w:p w:rsidR="00986C63" w:rsidRDefault="00986C63" w:rsidP="00986C63">
      <w:pPr>
        <w:pStyle w:val="NBP"/>
      </w:pPr>
      <w:r>
        <w:rPr>
          <w:rStyle w:val="Marquenotebasdepage"/>
        </w:rPr>
        <w:footnoteRef/>
      </w:r>
      <w:r>
        <w:t xml:space="preserve"> Art. 5 §1 de la directive </w:t>
      </w:r>
      <w:r w:rsidRPr="00023313">
        <w:t>n° 2008/95/CE</w:t>
      </w:r>
      <w:r>
        <w:t xml:space="preserve"> et art. 9§1 du</w:t>
      </w:r>
      <w:r w:rsidRPr="008B067F">
        <w:t xml:space="preserve"> </w:t>
      </w:r>
      <w:r>
        <w:t xml:space="preserve">règlement </w:t>
      </w:r>
      <w:r w:rsidRPr="003D1930">
        <w:t>n°</w:t>
      </w:r>
      <w:r>
        <w:t xml:space="preserve"> 207/2009/CE</w:t>
      </w:r>
    </w:p>
  </w:footnote>
  <w:footnote w:id="4">
    <w:p w:rsidR="00986C63" w:rsidRDefault="00986C63" w:rsidP="00986C63">
      <w:pPr>
        <w:pStyle w:val="NBP"/>
      </w:pPr>
      <w:r>
        <w:rPr>
          <w:rStyle w:val="Marquenotebasdepage"/>
        </w:rPr>
        <w:footnoteRef/>
      </w:r>
      <w:r w:rsidRPr="00EE25B3">
        <w:rPr>
          <w:lang w:val="en-US"/>
        </w:rPr>
        <w:t xml:space="preserve"> CJCE, 12 </w:t>
      </w:r>
      <w:proofErr w:type="spellStart"/>
      <w:proofErr w:type="gramStart"/>
      <w:r w:rsidRPr="00EE25B3">
        <w:rPr>
          <w:lang w:val="en-US"/>
        </w:rPr>
        <w:t>nov</w:t>
      </w:r>
      <w:proofErr w:type="gramEnd"/>
      <w:r w:rsidRPr="00EE25B3">
        <w:rPr>
          <w:lang w:val="en-US"/>
        </w:rPr>
        <w:t>.</w:t>
      </w:r>
      <w:proofErr w:type="spellEnd"/>
      <w:r w:rsidRPr="00EE25B3">
        <w:rPr>
          <w:lang w:val="en-US"/>
        </w:rPr>
        <w:t xml:space="preserve"> </w:t>
      </w:r>
      <w:proofErr w:type="gramStart"/>
      <w:r w:rsidRPr="00EE25B3">
        <w:rPr>
          <w:lang w:val="en-US"/>
        </w:rPr>
        <w:t xml:space="preserve">2002, C- 206/01, </w:t>
      </w:r>
      <w:r w:rsidRPr="00BC0386">
        <w:rPr>
          <w:i/>
          <w:lang w:val="en-US"/>
        </w:rPr>
        <w:t>Arsenal Football Club</w:t>
      </w:r>
      <w:r>
        <w:rPr>
          <w:lang w:val="en-US"/>
        </w:rPr>
        <w:t xml:space="preserve">, </w:t>
      </w:r>
      <w:r w:rsidRPr="00EE25B3">
        <w:rPr>
          <w:i/>
          <w:lang w:val="en-US"/>
        </w:rPr>
        <w:t>Rec.</w:t>
      </w:r>
      <w:r w:rsidRPr="00EE25B3">
        <w:rPr>
          <w:lang w:val="en-US"/>
        </w:rPr>
        <w:t xml:space="preserve"> </w:t>
      </w:r>
      <w:r>
        <w:t>CJCE 2002, I, p. 10273.</w:t>
      </w:r>
      <w:proofErr w:type="gramEnd"/>
    </w:p>
  </w:footnote>
  <w:footnote w:id="5">
    <w:p w:rsidR="00986C63" w:rsidRDefault="00986C63" w:rsidP="00986C63">
      <w:pPr>
        <w:pStyle w:val="NBP"/>
      </w:pPr>
      <w:r>
        <w:rPr>
          <w:rStyle w:val="Marquenotebasdepage"/>
        </w:rPr>
        <w:footnoteRef/>
      </w:r>
      <w:r>
        <w:t xml:space="preserve"> </w:t>
      </w:r>
      <w:r w:rsidRPr="002E6A6D">
        <w:t>CJUE</w:t>
      </w:r>
      <w:r>
        <w:t>,</w:t>
      </w:r>
      <w:r w:rsidRPr="002E6A6D">
        <w:t xml:space="preserve"> 23 mars 2010, </w:t>
      </w:r>
      <w:r>
        <w:t>précité, pt. 71 à 73.</w:t>
      </w:r>
    </w:p>
  </w:footnote>
  <w:footnote w:id="6">
    <w:p w:rsidR="00986C63" w:rsidRDefault="00986C63" w:rsidP="00986C63">
      <w:pPr>
        <w:pStyle w:val="NBP"/>
      </w:pPr>
      <w:r>
        <w:rPr>
          <w:rStyle w:val="Marquenotebasdepage"/>
        </w:rPr>
        <w:footnoteRef/>
      </w:r>
      <w:r>
        <w:t xml:space="preserve"> </w:t>
      </w:r>
      <w:r w:rsidRPr="002E6A6D">
        <w:t>CJUE</w:t>
      </w:r>
      <w:r>
        <w:t>,</w:t>
      </w:r>
      <w:r w:rsidRPr="002E6A6D">
        <w:t xml:space="preserve"> 23</w:t>
      </w:r>
      <w:r>
        <w:t xml:space="preserve"> mars 2010, précité, pt. 71-73.</w:t>
      </w:r>
    </w:p>
  </w:footnote>
  <w:footnote w:id="7">
    <w:p w:rsidR="00986C63" w:rsidRDefault="00986C63" w:rsidP="00986C63">
      <w:pPr>
        <w:pStyle w:val="NBP"/>
      </w:pPr>
      <w:r>
        <w:rPr>
          <w:rStyle w:val="Marquenotebasdepage"/>
        </w:rPr>
        <w:footnoteRef/>
      </w:r>
      <w:r>
        <w:t xml:space="preserve"> </w:t>
      </w:r>
      <w:r w:rsidRPr="00D3055C">
        <w:rPr>
          <w:i/>
        </w:rPr>
        <w:t>Ibid</w:t>
      </w:r>
      <w:r>
        <w:t>., pt. 84.</w:t>
      </w:r>
    </w:p>
  </w:footnote>
  <w:footnote w:id="8">
    <w:p w:rsidR="00986C63" w:rsidRDefault="00986C63" w:rsidP="00986C63">
      <w:pPr>
        <w:pStyle w:val="NBP"/>
      </w:pPr>
      <w:r>
        <w:rPr>
          <w:rStyle w:val="Marquenotebasdepage"/>
        </w:rPr>
        <w:footnoteRef/>
      </w:r>
      <w:r>
        <w:t xml:space="preserve"> CJCE, 18 juin 2009, C-487/07, </w:t>
      </w:r>
      <w:r w:rsidRPr="00BC0386">
        <w:rPr>
          <w:i/>
        </w:rPr>
        <w:t>L</w:t>
      </w:r>
      <w:r>
        <w:rPr>
          <w:i/>
        </w:rPr>
        <w:t>’</w:t>
      </w:r>
      <w:r w:rsidRPr="00BC0386">
        <w:rPr>
          <w:i/>
        </w:rPr>
        <w:t>Oréal</w:t>
      </w:r>
      <w:r>
        <w:t xml:space="preserve">, pt. 58 : </w:t>
      </w:r>
      <w:r w:rsidRPr="00C6129B">
        <w:rPr>
          <w:i/>
          <w:iCs/>
        </w:rPr>
        <w:t>Rec.</w:t>
      </w:r>
      <w:r>
        <w:t xml:space="preserve"> p. I-05185.</w:t>
      </w:r>
    </w:p>
  </w:footnote>
  <w:footnote w:id="9">
    <w:p w:rsidR="00986C63" w:rsidRDefault="00986C63" w:rsidP="00986C63">
      <w:pPr>
        <w:pStyle w:val="NBP"/>
      </w:pPr>
      <w:r>
        <w:rPr>
          <w:rStyle w:val="Marquenotebasdepage"/>
        </w:rPr>
        <w:footnoteRef/>
      </w:r>
      <w:r>
        <w:t xml:space="preserve"> </w:t>
      </w:r>
      <w:proofErr w:type="spellStart"/>
      <w:r>
        <w:t>Cass</w:t>
      </w:r>
      <w:proofErr w:type="spellEnd"/>
      <w:r>
        <w:t xml:space="preserve">. </w:t>
      </w:r>
      <w:proofErr w:type="gramStart"/>
      <w:r>
        <w:t>com</w:t>
      </w:r>
      <w:proofErr w:type="gramEnd"/>
      <w:r>
        <w:t xml:space="preserve">., 25 sept. 2012, n° 11-18110, </w:t>
      </w:r>
      <w:r w:rsidRPr="00EB2B92">
        <w:rPr>
          <w:i/>
        </w:rPr>
        <w:t>Inédit</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64EEC"/>
    <w:multiLevelType w:val="hybridMultilevel"/>
    <w:tmpl w:val="458C9FBE"/>
    <w:lvl w:ilvl="0" w:tplc="EB54820A">
      <w:start w:val="1"/>
      <w:numFmt w:val="upperRoman"/>
      <w:pStyle w:val="Titre2"/>
      <w:lvlText w:val="%1."/>
      <w:lvlJc w:val="right"/>
      <w:pPr>
        <w:ind w:left="360" w:hanging="360"/>
      </w:pPr>
      <w:rPr>
        <w:rFonts w:hint="default"/>
      </w:rPr>
    </w:lvl>
    <w:lvl w:ilvl="1" w:tplc="040C0019">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63"/>
    <w:rsid w:val="00986C63"/>
    <w:rsid w:val="00A220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3D5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63"/>
    <w:pPr>
      <w:spacing w:before="120" w:after="120" w:line="312" w:lineRule="auto"/>
    </w:pPr>
    <w:rPr>
      <w:sz w:val="22"/>
      <w:szCs w:val="22"/>
    </w:rPr>
  </w:style>
  <w:style w:type="paragraph" w:styleId="Titre2">
    <w:name w:val="heading 2"/>
    <w:basedOn w:val="Normal"/>
    <w:next w:val="Normal"/>
    <w:link w:val="Titre2Car"/>
    <w:uiPriority w:val="9"/>
    <w:qFormat/>
    <w:rsid w:val="00986C63"/>
    <w:pPr>
      <w:keepNext/>
      <w:numPr>
        <w:numId w:val="1"/>
      </w:numPr>
      <w:spacing w:before="240" w:after="240" w:line="240" w:lineRule="auto"/>
      <w:outlineLvl w:val="1"/>
    </w:pPr>
    <w:rPr>
      <w:rFonts w:ascii="Times New Roman" w:eastAsia="Times New Roman" w:hAnsi="Times New Roman" w:cs="Arial"/>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86C63"/>
    <w:rPr>
      <w:rFonts w:ascii="Times New Roman" w:eastAsia="Times New Roman" w:hAnsi="Times New Roman" w:cs="Arial"/>
      <w:b/>
      <w:bCs/>
      <w:iCs/>
      <w:sz w:val="28"/>
      <w:szCs w:val="28"/>
    </w:rPr>
  </w:style>
  <w:style w:type="paragraph" w:customStyle="1" w:styleId="NBP">
    <w:name w:val="NBP"/>
    <w:basedOn w:val="Notedebasdepage"/>
    <w:link w:val="NBPCar"/>
    <w:autoRedefine/>
    <w:qFormat/>
    <w:rsid w:val="00986C63"/>
    <w:pPr>
      <w:jc w:val="both"/>
    </w:pPr>
    <w:rPr>
      <w:rFonts w:ascii="Times New Roman" w:eastAsia="Times New Roman" w:hAnsi="Times New Roman" w:cs="Times New Roman"/>
      <w:bCs/>
      <w:sz w:val="20"/>
      <w:szCs w:val="20"/>
    </w:rPr>
  </w:style>
  <w:style w:type="character" w:customStyle="1" w:styleId="NBPCar">
    <w:name w:val="NBP Car"/>
    <w:basedOn w:val="Policepardfaut"/>
    <w:link w:val="NBP"/>
    <w:rsid w:val="00986C63"/>
    <w:rPr>
      <w:rFonts w:ascii="Times New Roman" w:eastAsia="Times New Roman" w:hAnsi="Times New Roman" w:cs="Times New Roman"/>
      <w:bCs/>
      <w:sz w:val="20"/>
      <w:szCs w:val="20"/>
    </w:rPr>
  </w:style>
  <w:style w:type="character" w:styleId="Marquenotebasdepage">
    <w:name w:val="footnote reference"/>
    <w:basedOn w:val="Policepardfaut"/>
    <w:rsid w:val="00986C63"/>
    <w:rPr>
      <w:vertAlign w:val="superscript"/>
    </w:rPr>
  </w:style>
  <w:style w:type="paragraph" w:customStyle="1" w:styleId="AAAAAAA">
    <w:name w:val="AAAAAAA"/>
    <w:basedOn w:val="Normal"/>
    <w:link w:val="AAAAAAACar"/>
    <w:qFormat/>
    <w:rsid w:val="00986C63"/>
    <w:pPr>
      <w:tabs>
        <w:tab w:val="num" w:pos="720"/>
      </w:tabs>
      <w:spacing w:line="360" w:lineRule="auto"/>
      <w:ind w:firstLine="709"/>
      <w:jc w:val="both"/>
    </w:pPr>
    <w:rPr>
      <w:rFonts w:ascii="Times New Roman" w:eastAsia="Times New Roman" w:hAnsi="Times New Roman" w:cs="Times New Roman"/>
      <w:sz w:val="24"/>
      <w:szCs w:val="24"/>
    </w:rPr>
  </w:style>
  <w:style w:type="character" w:customStyle="1" w:styleId="AAAAAAACar">
    <w:name w:val="AAAAAAA Car"/>
    <w:basedOn w:val="Policepardfaut"/>
    <w:link w:val="AAAAAAA"/>
    <w:rsid w:val="00986C63"/>
    <w:rPr>
      <w:rFonts w:ascii="Times New Roman" w:eastAsia="Times New Roman" w:hAnsi="Times New Roman" w:cs="Times New Roman"/>
    </w:rPr>
  </w:style>
  <w:style w:type="paragraph" w:styleId="Notedebasdepage">
    <w:name w:val="footnote text"/>
    <w:basedOn w:val="Normal"/>
    <w:link w:val="NotedebasdepageCar"/>
    <w:uiPriority w:val="99"/>
    <w:semiHidden/>
    <w:unhideWhenUsed/>
    <w:rsid w:val="00986C63"/>
    <w:pPr>
      <w:spacing w:before="0" w:after="0" w:line="240" w:lineRule="auto"/>
    </w:pPr>
    <w:rPr>
      <w:sz w:val="24"/>
      <w:szCs w:val="24"/>
    </w:rPr>
  </w:style>
  <w:style w:type="character" w:customStyle="1" w:styleId="NotedebasdepageCar">
    <w:name w:val="Note de bas de page Car"/>
    <w:basedOn w:val="Policepardfaut"/>
    <w:link w:val="Notedebasdepage"/>
    <w:uiPriority w:val="99"/>
    <w:semiHidden/>
    <w:rsid w:val="00986C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63"/>
    <w:pPr>
      <w:spacing w:before="120" w:after="120" w:line="312" w:lineRule="auto"/>
    </w:pPr>
    <w:rPr>
      <w:sz w:val="22"/>
      <w:szCs w:val="22"/>
    </w:rPr>
  </w:style>
  <w:style w:type="paragraph" w:styleId="Titre2">
    <w:name w:val="heading 2"/>
    <w:basedOn w:val="Normal"/>
    <w:next w:val="Normal"/>
    <w:link w:val="Titre2Car"/>
    <w:uiPriority w:val="9"/>
    <w:qFormat/>
    <w:rsid w:val="00986C63"/>
    <w:pPr>
      <w:keepNext/>
      <w:numPr>
        <w:numId w:val="1"/>
      </w:numPr>
      <w:spacing w:before="240" w:after="240" w:line="240" w:lineRule="auto"/>
      <w:outlineLvl w:val="1"/>
    </w:pPr>
    <w:rPr>
      <w:rFonts w:ascii="Times New Roman" w:eastAsia="Times New Roman" w:hAnsi="Times New Roman" w:cs="Arial"/>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86C63"/>
    <w:rPr>
      <w:rFonts w:ascii="Times New Roman" w:eastAsia="Times New Roman" w:hAnsi="Times New Roman" w:cs="Arial"/>
      <w:b/>
      <w:bCs/>
      <w:iCs/>
      <w:sz w:val="28"/>
      <w:szCs w:val="28"/>
    </w:rPr>
  </w:style>
  <w:style w:type="paragraph" w:customStyle="1" w:styleId="NBP">
    <w:name w:val="NBP"/>
    <w:basedOn w:val="Notedebasdepage"/>
    <w:link w:val="NBPCar"/>
    <w:autoRedefine/>
    <w:qFormat/>
    <w:rsid w:val="00986C63"/>
    <w:pPr>
      <w:jc w:val="both"/>
    </w:pPr>
    <w:rPr>
      <w:rFonts w:ascii="Times New Roman" w:eastAsia="Times New Roman" w:hAnsi="Times New Roman" w:cs="Times New Roman"/>
      <w:bCs/>
      <w:sz w:val="20"/>
      <w:szCs w:val="20"/>
    </w:rPr>
  </w:style>
  <w:style w:type="character" w:customStyle="1" w:styleId="NBPCar">
    <w:name w:val="NBP Car"/>
    <w:basedOn w:val="Policepardfaut"/>
    <w:link w:val="NBP"/>
    <w:rsid w:val="00986C63"/>
    <w:rPr>
      <w:rFonts w:ascii="Times New Roman" w:eastAsia="Times New Roman" w:hAnsi="Times New Roman" w:cs="Times New Roman"/>
      <w:bCs/>
      <w:sz w:val="20"/>
      <w:szCs w:val="20"/>
    </w:rPr>
  </w:style>
  <w:style w:type="character" w:styleId="Marquenotebasdepage">
    <w:name w:val="footnote reference"/>
    <w:basedOn w:val="Policepardfaut"/>
    <w:rsid w:val="00986C63"/>
    <w:rPr>
      <w:vertAlign w:val="superscript"/>
    </w:rPr>
  </w:style>
  <w:style w:type="paragraph" w:customStyle="1" w:styleId="AAAAAAA">
    <w:name w:val="AAAAAAA"/>
    <w:basedOn w:val="Normal"/>
    <w:link w:val="AAAAAAACar"/>
    <w:qFormat/>
    <w:rsid w:val="00986C63"/>
    <w:pPr>
      <w:tabs>
        <w:tab w:val="num" w:pos="720"/>
      </w:tabs>
      <w:spacing w:line="360" w:lineRule="auto"/>
      <w:ind w:firstLine="709"/>
      <w:jc w:val="both"/>
    </w:pPr>
    <w:rPr>
      <w:rFonts w:ascii="Times New Roman" w:eastAsia="Times New Roman" w:hAnsi="Times New Roman" w:cs="Times New Roman"/>
      <w:sz w:val="24"/>
      <w:szCs w:val="24"/>
    </w:rPr>
  </w:style>
  <w:style w:type="character" w:customStyle="1" w:styleId="AAAAAAACar">
    <w:name w:val="AAAAAAA Car"/>
    <w:basedOn w:val="Policepardfaut"/>
    <w:link w:val="AAAAAAA"/>
    <w:rsid w:val="00986C63"/>
    <w:rPr>
      <w:rFonts w:ascii="Times New Roman" w:eastAsia="Times New Roman" w:hAnsi="Times New Roman" w:cs="Times New Roman"/>
    </w:rPr>
  </w:style>
  <w:style w:type="paragraph" w:styleId="Notedebasdepage">
    <w:name w:val="footnote text"/>
    <w:basedOn w:val="Normal"/>
    <w:link w:val="NotedebasdepageCar"/>
    <w:uiPriority w:val="99"/>
    <w:semiHidden/>
    <w:unhideWhenUsed/>
    <w:rsid w:val="00986C63"/>
    <w:pPr>
      <w:spacing w:before="0" w:after="0" w:line="240" w:lineRule="auto"/>
    </w:pPr>
    <w:rPr>
      <w:sz w:val="24"/>
      <w:szCs w:val="24"/>
    </w:rPr>
  </w:style>
  <w:style w:type="character" w:customStyle="1" w:styleId="NotedebasdepageCar">
    <w:name w:val="Note de bas de page Car"/>
    <w:basedOn w:val="Policepardfaut"/>
    <w:link w:val="Notedebasdepage"/>
    <w:uiPriority w:val="99"/>
    <w:semiHidden/>
    <w:rsid w:val="0098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6462</Characters>
  <Application>Microsoft Macintosh Word</Application>
  <DocSecurity>0</DocSecurity>
  <Lines>53</Lines>
  <Paragraphs>15</Paragraphs>
  <ScaleCrop>false</ScaleCrop>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Chatry</dc:creator>
  <cp:keywords/>
  <dc:description/>
  <cp:lastModifiedBy>Sylvain Chatry</cp:lastModifiedBy>
  <cp:revision>2</cp:revision>
  <dcterms:created xsi:type="dcterms:W3CDTF">2016-01-23T12:52:00Z</dcterms:created>
  <dcterms:modified xsi:type="dcterms:W3CDTF">2016-01-23T12:52:00Z</dcterms:modified>
</cp:coreProperties>
</file>